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06" w:rsidRDefault="000C0CAE" w:rsidP="00D04852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0C0CAE">
        <w:rPr>
          <w:rFonts w:ascii="Cambria" w:hAnsi="Cambria"/>
          <w:b/>
          <w:noProof/>
          <w:sz w:val="28"/>
          <w:szCs w:val="28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34" type="#_x0000_t75" style="width:53.6pt;height:63.65pt;visibility:visible;mso-wrap-style:square">
            <v:imagedata r:id="rId6" o:title=""/>
          </v:shape>
        </w:pict>
      </w:r>
    </w:p>
    <w:p w:rsidR="00360406" w:rsidRPr="00021F52" w:rsidRDefault="00360406" w:rsidP="00360406">
      <w:pPr>
        <w:spacing w:after="0" w:line="240" w:lineRule="auto"/>
        <w:jc w:val="center"/>
        <w:rPr>
          <w:rFonts w:ascii="Cambria" w:hAnsi="Cambria"/>
          <w:b/>
        </w:rPr>
      </w:pPr>
      <w:r w:rsidRPr="00021F52">
        <w:rPr>
          <w:rFonts w:ascii="Cambria" w:hAnsi="Cambria"/>
          <w:b/>
        </w:rPr>
        <w:t>COMUNE DI VERRETTO</w:t>
      </w:r>
    </w:p>
    <w:p w:rsidR="00360406" w:rsidRPr="00B8410F" w:rsidRDefault="00360406" w:rsidP="00360406">
      <w:pPr>
        <w:spacing w:after="0" w:line="240" w:lineRule="auto"/>
        <w:jc w:val="center"/>
        <w:rPr>
          <w:rFonts w:ascii="Cambria" w:hAnsi="Cambria"/>
          <w:b/>
        </w:rPr>
      </w:pPr>
      <w:r w:rsidRPr="00B8410F">
        <w:rPr>
          <w:rFonts w:ascii="Cambria" w:hAnsi="Cambria"/>
          <w:b/>
        </w:rPr>
        <w:t>PROVINCIA DI PAVIA</w:t>
      </w:r>
    </w:p>
    <w:p w:rsidR="00360406" w:rsidRPr="007B7F56" w:rsidRDefault="00C435C8" w:rsidP="00D04852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C435C8" w:rsidRPr="00F6639B" w:rsidTr="00F6639B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</w:rPr>
            </w:pPr>
            <w:r w:rsidRPr="00F6639B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</w:rPr>
            </w:pPr>
            <w:r w:rsidRPr="00F6639B">
              <w:rPr>
                <w:rFonts w:ascii="Cambria" w:hAnsi="Cambria"/>
                <w:b/>
              </w:rPr>
              <w:t>Reclutamento del personale</w:t>
            </w:r>
          </w:p>
        </w:tc>
      </w:tr>
      <w:tr w:rsidR="00C435C8" w:rsidRPr="00F6639B" w:rsidTr="00F6639B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C435C8" w:rsidRPr="00F6639B" w:rsidTr="00F6639B">
        <w:trPr>
          <w:tblHeader/>
          <w:tblCellSpacing w:w="20" w:type="dxa"/>
        </w:trPr>
        <w:tc>
          <w:tcPr>
            <w:tcW w:w="2073" w:type="dxa"/>
            <w:vMerge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6639B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6639B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6639B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Sub Procedimento Mobilità</w: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435C8" w:rsidRPr="00F6639B" w:rsidTr="00F6639B">
        <w:trPr>
          <w:trHeight w:val="1171"/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5" type="#_x0000_t75" style="width:90.4pt;height:56.95pt">
                  <v:imagedata r:id="rId7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In questa fase di possono determinare situazioni di grande discrezionalità nell’individuazione dei requisiti richiesti.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 xml:space="preserve">Prevedere nel regolamento i criteri di valutazione dei soggetti e nel sistema dei profili professionali i requisiti di accesso per ogni singolo profilo. 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 xml:space="preserve">Org. 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6" type="#_x0000_t75" style="width:90.4pt;height:56.95pt">
                  <v:imagedata r:id="rId8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Il rischio è che la pubblicazione venga effettuata in modo limitato, tale da restringere la conoscenza della procedura.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Prevedere forme di pubblicazione che consentano la massima trasparenza possibile.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Com.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7" type="#_x0000_t75" style="width:90.4pt;height:57.75pt">
                  <v:imagedata r:id="rId9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La mancata definizione preventiva dei criteri di valutazione può originare arbitrio valutativo.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Prevedere la definizione preventiva dei criteri di valutazione e la loro comunicazione ai soggetti richiedenti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Com.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C435C8" w:rsidP="00F6639B">
            <w:pPr>
              <w:spacing w:after="0" w:line="240" w:lineRule="auto"/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Sub. Procedimento Selezione pubblica</w: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8" type="#_x0000_t75" style="width:90.4pt;height:56.95pt">
                  <v:imagedata r:id="rId10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In questa fase di possono determinare situazioni di grande discrezionalità nell’individuazione dei requisiti richiesti.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 xml:space="preserve">Prevedere nel regolamento i criteri di valutazione dei soggetti e nel sistema dei profili professionali i requisiti di accesso per ogni singolo profilo. 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 xml:space="preserve">Org. 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</w:pPr>
            <w:r>
              <w:lastRenderedPageBreak/>
              <w:pict>
                <v:shape id="_x0000_i1029" type="#_x0000_t75" style="width:90.4pt;height:56.95pt">
                  <v:imagedata r:id="rId11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Potrebbe sussistere una condizione di collusione tra i commissari al fine di agevolare alcune valutazioni “pilotate”.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Determinare regole di formazione della commissione 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C435C8" w:rsidP="00F6639B">
            <w:pPr>
              <w:spacing w:after="0" w:line="240" w:lineRule="auto"/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Sub. Procedimento Lavori della commissione</w: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30" type="#_x0000_t75" style="width:90.4pt;height:58.6pt">
                  <v:imagedata r:id="rId12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Il rischio che venga incaricato un unico commissario di predisporre le prove e che venga predisposto un numero di prove molto limitato, tale da permettere una compiuta preparazione specifica da parte di chi eventualmente fosse in possesso dei titoli.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Ogni commissario dovrebbe predisporre un numero di prove pari a quello che verrà sottoposto al sorteggio. Dovrebbe essere effettuato un primo sorteggio tra tutte le prove preparate (eventualmente in busta chiusa) e un secondo sorteggio da parte dei candidati.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Org. Comp.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</w:pPr>
            <w:r>
              <w:pict>
                <v:shape id="_x0000_i1031" type="#_x0000_t75" style="width:90.4pt;height:58.6pt">
                  <v:imagedata r:id="rId13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 xml:space="preserve">In questo caso, ovviamente, possono sussistere diverse tipologie di rischi, peraltro difficilmente contrastabili. 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Le contromisure possibili si limitano alle modalità di voto in commissione. Va evitata la media dei voti espressi liberamente da ogni commissario e va adottato il sistema di voto che prevede che il Presidente faccia la proposta di votazione che viene adottata solo quando raggiunge a sua volta il voto favorevole della metà più uno dei commissari.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Comp.</w:t>
            </w:r>
          </w:p>
        </w:tc>
      </w:tr>
      <w:tr w:rsidR="00C435C8" w:rsidRPr="00F6639B" w:rsidTr="00F6639B">
        <w:trPr>
          <w:trHeight w:val="575"/>
          <w:tblCellSpacing w:w="20" w:type="dxa"/>
        </w:trPr>
        <w:tc>
          <w:tcPr>
            <w:tcW w:w="2073" w:type="dxa"/>
            <w:vMerge w:val="restart"/>
          </w:tcPr>
          <w:p w:rsidR="00C435C8" w:rsidRPr="00F6639B" w:rsidRDefault="00A16405" w:rsidP="00F6639B">
            <w:pPr>
              <w:spacing w:after="0" w:line="240" w:lineRule="auto"/>
            </w:pPr>
            <w:r>
              <w:pict>
                <v:shape id="_x0000_i1032" type="#_x0000_t75" style="width:90.4pt;height:58.6pt">
                  <v:imagedata r:id="rId14" o:title=""/>
                </v:shape>
              </w:pict>
            </w:r>
          </w:p>
        </w:tc>
        <w:tc>
          <w:tcPr>
            <w:tcW w:w="3064" w:type="dxa"/>
            <w:vMerge w:val="restart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Sussiste stesso rischio esistente per la predisposizione delle prove scritte.</w:t>
            </w:r>
          </w:p>
        </w:tc>
        <w:tc>
          <w:tcPr>
            <w:tcW w:w="1094" w:type="dxa"/>
            <w:vMerge w:val="restart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Merge w:val="restart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vMerge w:val="restart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 xml:space="preserve">Anche in questo caso l’unica contromisura preventiva possibile è rappresentata dalla predisposizione di un numero di domande </w:t>
            </w:r>
            <w:r w:rsidRPr="00F6639B">
              <w:rPr>
                <w:rFonts w:ascii="Cambria" w:hAnsi="Cambria"/>
                <w:i/>
                <w:sz w:val="18"/>
                <w:szCs w:val="18"/>
              </w:rPr>
              <w:t>n</w:t>
            </w:r>
            <w:r w:rsidRPr="00F6639B">
              <w:rPr>
                <w:rFonts w:ascii="Cambria" w:hAnsi="Cambria"/>
                <w:sz w:val="18"/>
                <w:szCs w:val="18"/>
              </w:rPr>
              <w:t xml:space="preserve"> volte superiore a quelle che verranno presentate ad ogni candidato e che riguardino tutte le materie trattate. Anche in questo caso le domande dovrebbero essere predisposte da ogni singolo commissario, ma non dovrebbe essere effettuato alcun sorteggio preventivo e il candidato dovrebbe sorteggiare le domande dall’insieme di quelle preparate.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Org. Comp.</w:t>
            </w:r>
          </w:p>
        </w:tc>
      </w:tr>
      <w:tr w:rsidR="00C435C8" w:rsidRPr="00F6639B" w:rsidTr="00F6639B">
        <w:trPr>
          <w:trHeight w:val="768"/>
          <w:tblCellSpacing w:w="20" w:type="dxa"/>
        </w:trPr>
        <w:tc>
          <w:tcPr>
            <w:tcW w:w="2073" w:type="dxa"/>
            <w:vMerge/>
          </w:tcPr>
          <w:p w:rsidR="00C435C8" w:rsidRPr="00F6639B" w:rsidRDefault="00C435C8" w:rsidP="00F6639B">
            <w:pPr>
              <w:spacing w:after="0" w:line="240" w:lineRule="auto"/>
            </w:pPr>
          </w:p>
        </w:tc>
        <w:tc>
          <w:tcPr>
            <w:tcW w:w="3064" w:type="dxa"/>
            <w:vMerge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Merge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vMerge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L’assegnazione del punteggio della singola prova orale deve essere effettuata immediatamente con il sistema ricordato in precedenza.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Comp.</w:t>
            </w:r>
          </w:p>
        </w:tc>
      </w:tr>
      <w:tr w:rsidR="00C435C8" w:rsidRPr="00F6639B" w:rsidTr="00F6639B">
        <w:trPr>
          <w:trHeight w:val="592"/>
          <w:tblCellSpacing w:w="20" w:type="dxa"/>
        </w:trPr>
        <w:tc>
          <w:tcPr>
            <w:tcW w:w="2073" w:type="dxa"/>
          </w:tcPr>
          <w:p w:rsidR="00C435C8" w:rsidRPr="00F6639B" w:rsidRDefault="00C435C8" w:rsidP="00F6639B">
            <w:pPr>
              <w:spacing w:after="0" w:line="240" w:lineRule="auto"/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Sub Procedimento – Collocamento ordinario</w: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435C8" w:rsidRPr="00F6639B" w:rsidTr="00F6639B">
        <w:trPr>
          <w:trHeight w:val="1180"/>
          <w:tblCellSpacing w:w="20" w:type="dxa"/>
        </w:trPr>
        <w:tc>
          <w:tcPr>
            <w:tcW w:w="2073" w:type="dxa"/>
          </w:tcPr>
          <w:p w:rsidR="00C435C8" w:rsidRPr="00F6639B" w:rsidRDefault="00A16405" w:rsidP="00F6639B">
            <w:pPr>
              <w:spacing w:after="0" w:line="240" w:lineRule="auto"/>
            </w:pPr>
            <w:r>
              <w:lastRenderedPageBreak/>
              <w:pict>
                <v:shape id="_x0000_i1033" type="#_x0000_t75" style="width:90.4pt;height:56.95pt">
                  <v:imagedata r:id="rId15" o:title=""/>
                </v:shape>
              </w:pict>
            </w:r>
          </w:p>
        </w:tc>
        <w:tc>
          <w:tcPr>
            <w:tcW w:w="3064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Può sussistere il rischio che venga dichiarato inidoneo un candidato solo per poter scorrere l’elenco ed arrivare ad un soggetto specifico.</w:t>
            </w:r>
          </w:p>
        </w:tc>
        <w:tc>
          <w:tcPr>
            <w:tcW w:w="1094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435C8" w:rsidRPr="00F6639B" w:rsidRDefault="00C435C8" w:rsidP="00F6639B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9</w:t>
            </w:r>
          </w:p>
        </w:tc>
        <w:tc>
          <w:tcPr>
            <w:tcW w:w="5063" w:type="dxa"/>
          </w:tcPr>
          <w:p w:rsidR="00C435C8" w:rsidRPr="00F6639B" w:rsidRDefault="00C435C8" w:rsidP="00F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F6639B">
              <w:rPr>
                <w:rFonts w:ascii="Cambria" w:hAnsi="Cambria"/>
                <w:sz w:val="18"/>
                <w:szCs w:val="18"/>
              </w:rPr>
              <w:t>Vanno specificate e portate a conoscenza preventiva dei candidati i criteri che conducono al riconoscimento della idoneità.</w:t>
            </w:r>
          </w:p>
        </w:tc>
        <w:tc>
          <w:tcPr>
            <w:tcW w:w="79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F6639B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</w:tbl>
    <w:p w:rsidR="00C435C8" w:rsidRDefault="00C435C8" w:rsidP="00066EC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C435C8" w:rsidRPr="00F6639B" w:rsidTr="00F6639B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135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135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135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C435C8" w:rsidRPr="00F6639B" w:rsidTr="00F6639B">
        <w:trPr>
          <w:tblCellSpacing w:w="20" w:type="dxa"/>
        </w:trPr>
        <w:tc>
          <w:tcPr>
            <w:tcW w:w="1350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F6639B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C435C8" w:rsidRDefault="00C435C8" w:rsidP="00066EC4">
      <w:pPr>
        <w:pStyle w:val="Didascalia"/>
        <w:keepNext/>
      </w:pPr>
      <w:r>
        <w:t xml:space="preserve">Tabella </w:t>
      </w:r>
      <w:r w:rsidR="00A16405">
        <w:fldChar w:fldCharType="begin"/>
      </w:r>
      <w:r w:rsidR="0077368C">
        <w:instrText xml:space="preserve"> SEQ Tabella \* ARABIC </w:instrText>
      </w:r>
      <w:r w:rsidR="00A16405">
        <w:fldChar w:fldCharType="separate"/>
      </w:r>
      <w:r>
        <w:rPr>
          <w:noProof/>
        </w:rPr>
        <w:t>1</w:t>
      </w:r>
      <w:r w:rsidR="00A16405">
        <w:rPr>
          <w:noProof/>
        </w:rPr>
        <w:fldChar w:fldCharType="end"/>
      </w:r>
      <w:r>
        <w:t xml:space="preserve"> - Legenda</w:t>
      </w:r>
    </w:p>
    <w:p w:rsidR="00C435C8" w:rsidRDefault="00C435C8">
      <w:r>
        <w:br w:type="page"/>
      </w:r>
    </w:p>
    <w:p w:rsidR="00C435C8" w:rsidRDefault="00C435C8" w:rsidP="00D04852">
      <w:pPr>
        <w:jc w:val="center"/>
      </w:pPr>
    </w:p>
    <w:p w:rsidR="00C435C8" w:rsidRDefault="00C435C8" w:rsidP="00B845E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C435C8" w:rsidRPr="00B845ED" w:rsidRDefault="00C435C8" w:rsidP="00B845E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845E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C435C8" w:rsidRPr="00B845ED" w:rsidRDefault="00C435C8" w:rsidP="00B845E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845E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 w:rsidR="00A52964"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  <w:r w:rsidRPr="00B845E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 w:rsidR="00A52964">
        <w:rPr>
          <w:rFonts w:ascii="Cambria" w:eastAsia="PMingLiU" w:hAnsi="Cambria"/>
          <w:b/>
          <w:color w:val="C00000"/>
          <w:w w:val="84"/>
          <w:sz w:val="40"/>
          <w:szCs w:val="40"/>
        </w:rPr>
        <w:t>9</w:t>
      </w:r>
    </w:p>
    <w:p w:rsidR="00C435C8" w:rsidRPr="00B845ED" w:rsidRDefault="00C435C8" w:rsidP="00B845ED">
      <w:pPr>
        <w:jc w:val="center"/>
        <w:rPr>
          <w:rFonts w:ascii="Cambria" w:hAnsi="Cambria"/>
          <w:b/>
        </w:rPr>
      </w:pPr>
      <w:r w:rsidRPr="00B845ED">
        <w:rPr>
          <w:rFonts w:ascii="Cambria" w:hAnsi="Cambria"/>
          <w:b/>
        </w:rPr>
        <w:t>Tavola di equiparazione soggetti</w:t>
      </w:r>
    </w:p>
    <w:p w:rsidR="00C435C8" w:rsidRPr="00B845ED" w:rsidRDefault="00C435C8" w:rsidP="00B845ED">
      <w:pPr>
        <w:rPr>
          <w:rFonts w:ascii="Cambria" w:hAnsi="Cambria"/>
        </w:rPr>
      </w:pPr>
    </w:p>
    <w:p w:rsidR="00C435C8" w:rsidRPr="00B845ED" w:rsidRDefault="00C435C8" w:rsidP="00B845ED">
      <w:pPr>
        <w:rPr>
          <w:rFonts w:ascii="Cambria" w:hAnsi="Cambria"/>
          <w:b/>
          <w:w w:val="84"/>
        </w:rPr>
      </w:pPr>
    </w:p>
    <w:p w:rsidR="00C435C8" w:rsidRPr="00B845ED" w:rsidRDefault="00C435C8" w:rsidP="00B845ED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C435C8" w:rsidRPr="00F6639B" w:rsidTr="00F6639B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C435C8" w:rsidRPr="00F6639B" w:rsidRDefault="00C435C8" w:rsidP="00B845ED">
            <w:pPr>
              <w:rPr>
                <w:rFonts w:ascii="Cambria" w:hAnsi="Cambria"/>
                <w:b/>
                <w:w w:val="84"/>
              </w:rPr>
            </w:pPr>
            <w:r w:rsidRPr="00F6639B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C435C8" w:rsidRPr="00F6639B" w:rsidRDefault="00C435C8" w:rsidP="004A6D79">
            <w:pPr>
              <w:spacing w:after="0" w:line="240" w:lineRule="auto"/>
              <w:rPr>
                <w:rFonts w:ascii="Cambria" w:hAnsi="Cambria"/>
                <w:b/>
              </w:rPr>
            </w:pPr>
            <w:r w:rsidRPr="00F6639B">
              <w:rPr>
                <w:rFonts w:ascii="Cambria" w:hAnsi="Cambria"/>
                <w:b/>
              </w:rPr>
              <w:t>Reclutamento del personale</w:t>
            </w:r>
          </w:p>
        </w:tc>
      </w:tr>
      <w:tr w:rsidR="00C435C8" w:rsidRPr="00F6639B" w:rsidTr="00F6639B">
        <w:trPr>
          <w:tblCellSpacing w:w="20" w:type="dxa"/>
          <w:jc w:val="center"/>
        </w:trPr>
        <w:tc>
          <w:tcPr>
            <w:tcW w:w="268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F6639B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C435C8" w:rsidRPr="00F6639B" w:rsidRDefault="00360406" w:rsidP="00B85F15">
            <w:pPr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>Servizio Finanziario</w:t>
            </w:r>
          </w:p>
          <w:p w:rsidR="00C435C8" w:rsidRPr="00F6639B" w:rsidRDefault="00C435C8" w:rsidP="00B845ED">
            <w:pPr>
              <w:rPr>
                <w:rFonts w:ascii="Cambria" w:hAnsi="Cambria"/>
                <w:w w:val="84"/>
              </w:rPr>
            </w:pPr>
          </w:p>
        </w:tc>
      </w:tr>
      <w:tr w:rsidR="00C435C8" w:rsidRPr="00F6639B" w:rsidTr="00F6639B">
        <w:trPr>
          <w:tblCellSpacing w:w="20" w:type="dxa"/>
          <w:jc w:val="center"/>
        </w:trPr>
        <w:tc>
          <w:tcPr>
            <w:tcW w:w="2686" w:type="dxa"/>
          </w:tcPr>
          <w:p w:rsidR="00C435C8" w:rsidRPr="00F6639B" w:rsidRDefault="00C435C8" w:rsidP="00F6639B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F6639B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C435C8" w:rsidRPr="00F6639B" w:rsidRDefault="00360406" w:rsidP="00B845ED">
            <w:pPr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>Servizio Finanziario</w:t>
            </w:r>
          </w:p>
          <w:p w:rsidR="00C435C8" w:rsidRPr="00F6639B" w:rsidRDefault="00C435C8" w:rsidP="00B845ED">
            <w:pPr>
              <w:rPr>
                <w:rFonts w:ascii="Cambria" w:hAnsi="Cambria"/>
                <w:w w:val="84"/>
              </w:rPr>
            </w:pPr>
          </w:p>
        </w:tc>
      </w:tr>
    </w:tbl>
    <w:p w:rsidR="00C435C8" w:rsidRPr="00B845ED" w:rsidRDefault="00C435C8" w:rsidP="00B845ED">
      <w:pPr>
        <w:jc w:val="center"/>
      </w:pPr>
    </w:p>
    <w:p w:rsidR="00C435C8" w:rsidRDefault="00C435C8" w:rsidP="00D04852">
      <w:pPr>
        <w:jc w:val="center"/>
      </w:pPr>
    </w:p>
    <w:sectPr w:rsidR="00C435C8" w:rsidSect="003B1A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134" w:right="1417" w:bottom="851" w:left="1134" w:header="708" w:footer="708" w:gutter="0"/>
      <w:pgBorders w:offsetFrom="page">
        <w:top w:val="single" w:sz="2" w:space="24" w:color="C00000"/>
        <w:left w:val="single" w:sz="2" w:space="24" w:color="C00000"/>
        <w:bottom w:val="single" w:sz="2" w:space="24" w:color="C00000"/>
        <w:right w:val="single" w:sz="2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8F8" w:rsidRDefault="006938F8" w:rsidP="002D347A">
      <w:pPr>
        <w:spacing w:after="0" w:line="240" w:lineRule="auto"/>
      </w:pPr>
      <w:r>
        <w:separator/>
      </w:r>
    </w:p>
  </w:endnote>
  <w:endnote w:type="continuationSeparator" w:id="0">
    <w:p w:rsidR="006938F8" w:rsidRDefault="006938F8" w:rsidP="002D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C435C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C435C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C435C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8F8" w:rsidRDefault="006938F8" w:rsidP="002D347A">
      <w:pPr>
        <w:spacing w:after="0" w:line="240" w:lineRule="auto"/>
      </w:pPr>
      <w:r>
        <w:separator/>
      </w:r>
    </w:p>
  </w:footnote>
  <w:footnote w:type="continuationSeparator" w:id="0">
    <w:p w:rsidR="006938F8" w:rsidRDefault="006938F8" w:rsidP="002D3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C435C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A16405">
    <w:pPr>
      <w:pStyle w:val="Intestazione"/>
    </w:pPr>
    <w:r>
      <w:rPr>
        <w:noProof/>
        <w:lang w:eastAsia="it-IT"/>
      </w:rPr>
      <w:pict>
        <v:group id="Gruppo 1" o:spid="_x0000_s2049" style="position:absolute;margin-left:787.2pt;margin-top:119.8pt;width:38.45pt;height:18.7pt;z-index:1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71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<v:textbox inset="0,0,0,0">
              <w:txbxContent>
                <w:p w:rsidR="00C435C8" w:rsidRDefault="00A16405">
                  <w:pPr>
                    <w:pStyle w:val="Intestazione"/>
                    <w:jc w:val="center"/>
                  </w:pPr>
                  <w:r w:rsidRPr="00A16405">
                    <w:rPr>
                      <w:sz w:val="22"/>
                      <w:szCs w:val="22"/>
                    </w:rPr>
                    <w:fldChar w:fldCharType="begin"/>
                  </w:r>
                  <w:r w:rsidR="008D0B34">
                    <w:instrText>PAGE    \* MERGEFORMAT</w:instrText>
                  </w:r>
                  <w:r w:rsidRPr="00A16405">
                    <w:rPr>
                      <w:sz w:val="22"/>
                      <w:szCs w:val="22"/>
                    </w:rPr>
                    <w:fldChar w:fldCharType="separate"/>
                  </w:r>
                  <w:r w:rsidR="000C0CAE" w:rsidRPr="000C0CAE"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t>1</w:t>
                  </w:r>
                  <w:r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72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oval id="Oval 73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aob0A&#10;AADaAAAADwAAAGRycy9kb3ducmV2LnhtbERPTYvCMBC9C/6HMIIX0XQFV6mNIguCFw+6HjwOzdgU&#10;m0lJYq3/3ggLe3y872Lb20Z05EPtWMHXLANBXDpdc6Xg8rufrkCEiKyxcUwKXhRguxkOCsy1e/KJ&#10;unOsRArhkKMCE2ObSxlKQxbDzLXEibs5bzEm6CupPT5TuG3kPMu+pcWaU4PBln4Mlffzw6YZ1+DC&#10;9VA+cHmZm8mq99XRL5Uaj/rdGkSkPv6L/9wHrWABnyvJD3Lz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CAaob0AAADaAAAADwAAAAAAAAAAAAAAAACYAgAAZHJzL2Rvd25yZXYu&#10;eG1sUEsFBgAAAAAEAAQA9QAAAIIDAAAAAA==&#10;" filled="f" strokecolor="#84a2c6" strokeweight=".5pt"/>
            <v:oval id="Oval 74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9Iv74A&#10;AADaAAAADwAAAGRycy9kb3ducmV2LnhtbESPwQrCMBBE74L/EFbwpqkeilSjqKB4terB29qsbbHZ&#10;lCbW+vdGEDwOM/OGWaw6U4mWGldaVjAZRyCIM6tLzhWcT7vRDITzyBory6TgTQ5Wy35vgYm2Lz5S&#10;m/pcBAi7BBUU3teJlC4ryKAb25o4eHfbGPRBNrnUDb4C3FRyGkWxNFhyWCiwpm1B2SN9GgXl3k4u&#10;u016dNc23sp1ddvYy02p4aBbz0F46vw//Gsf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fSL++AAAA2gAAAA8AAAAAAAAAAAAAAAAAmAIAAGRycy9kb3ducmV2&#10;LnhtbFBLBQYAAAAABAAEAPUAAACDAwAAAAA=&#10;" fillcolor="#84a2c6" stroked="f"/>
          </v:group>
          <w10:wrap anchorx="margin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C8" w:rsidRDefault="00C435C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852"/>
    <w:rsid w:val="00066EC4"/>
    <w:rsid w:val="000C0CAE"/>
    <w:rsid w:val="001624AA"/>
    <w:rsid w:val="00187A6C"/>
    <w:rsid w:val="001C4D0C"/>
    <w:rsid w:val="001D427E"/>
    <w:rsid w:val="002751F0"/>
    <w:rsid w:val="0029792F"/>
    <w:rsid w:val="002D347A"/>
    <w:rsid w:val="002E5144"/>
    <w:rsid w:val="00317EA9"/>
    <w:rsid w:val="00327D22"/>
    <w:rsid w:val="00344685"/>
    <w:rsid w:val="0035167D"/>
    <w:rsid w:val="00360406"/>
    <w:rsid w:val="003952FE"/>
    <w:rsid w:val="003A78CC"/>
    <w:rsid w:val="003B1A5B"/>
    <w:rsid w:val="00414C55"/>
    <w:rsid w:val="00432F5E"/>
    <w:rsid w:val="00492012"/>
    <w:rsid w:val="004A02EC"/>
    <w:rsid w:val="004A6D79"/>
    <w:rsid w:val="00511245"/>
    <w:rsid w:val="00523C0D"/>
    <w:rsid w:val="00551512"/>
    <w:rsid w:val="005601FA"/>
    <w:rsid w:val="00582B87"/>
    <w:rsid w:val="005D2A02"/>
    <w:rsid w:val="00681460"/>
    <w:rsid w:val="006938F8"/>
    <w:rsid w:val="006B404E"/>
    <w:rsid w:val="007270FE"/>
    <w:rsid w:val="00763268"/>
    <w:rsid w:val="0077368C"/>
    <w:rsid w:val="007B7F56"/>
    <w:rsid w:val="00827132"/>
    <w:rsid w:val="0083631C"/>
    <w:rsid w:val="008677C4"/>
    <w:rsid w:val="008D0B34"/>
    <w:rsid w:val="009A2FAF"/>
    <w:rsid w:val="009C3566"/>
    <w:rsid w:val="009D2DC2"/>
    <w:rsid w:val="00A16405"/>
    <w:rsid w:val="00A2403D"/>
    <w:rsid w:val="00A52964"/>
    <w:rsid w:val="00A967BC"/>
    <w:rsid w:val="00AC43F2"/>
    <w:rsid w:val="00B845ED"/>
    <w:rsid w:val="00B8582D"/>
    <w:rsid w:val="00B85F15"/>
    <w:rsid w:val="00BA7F22"/>
    <w:rsid w:val="00BC50F9"/>
    <w:rsid w:val="00C435C8"/>
    <w:rsid w:val="00C638F2"/>
    <w:rsid w:val="00CB5DFB"/>
    <w:rsid w:val="00D04852"/>
    <w:rsid w:val="00D27DC4"/>
    <w:rsid w:val="00D32F1B"/>
    <w:rsid w:val="00E06875"/>
    <w:rsid w:val="00E260D8"/>
    <w:rsid w:val="00EB10AE"/>
    <w:rsid w:val="00EC0595"/>
    <w:rsid w:val="00F22262"/>
    <w:rsid w:val="00F34C59"/>
    <w:rsid w:val="00F54D3A"/>
    <w:rsid w:val="00F64276"/>
    <w:rsid w:val="00F64FB4"/>
    <w:rsid w:val="00F6639B"/>
    <w:rsid w:val="00FF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852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Web2"/>
    <w:uiPriority w:val="99"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2D347A"/>
    <w:pPr>
      <w:spacing w:after="0" w:line="240" w:lineRule="auto"/>
    </w:pPr>
    <w:rPr>
      <w:sz w:val="20"/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2D347A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2D347A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7B7F5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B7F5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IntestazioneCarattere">
    <w:name w:val="Intestazione Carattere"/>
    <w:link w:val="Intestazione"/>
    <w:uiPriority w:val="99"/>
    <w:locked/>
    <w:rsid w:val="00297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PidipaginaCarattere">
    <w:name w:val="Piè di pagina Carattere"/>
    <w:link w:val="Pidipagina"/>
    <w:uiPriority w:val="99"/>
    <w:locked/>
    <w:rsid w:val="0029792F"/>
    <w:rPr>
      <w:rFonts w:cs="Times New Roman"/>
    </w:rPr>
  </w:style>
  <w:style w:type="table" w:customStyle="1" w:styleId="Stile11">
    <w:name w:val="Stile11"/>
    <w:basedOn w:val="TabellaWeb2"/>
    <w:uiPriority w:val="99"/>
    <w:rsid w:val="00066EC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idascalia">
    <w:name w:val="caption"/>
    <w:basedOn w:val="Normale"/>
    <w:next w:val="Normale"/>
    <w:uiPriority w:val="99"/>
    <w:qFormat/>
    <w:rsid w:val="00066EC4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Numeroriga">
    <w:name w:val="line number"/>
    <w:uiPriority w:val="99"/>
    <w:semiHidden/>
    <w:rsid w:val="00066EC4"/>
    <w:rPr>
      <w:rFonts w:cs="Times New Roman"/>
    </w:rPr>
  </w:style>
  <w:style w:type="character" w:styleId="Numeropagina">
    <w:name w:val="page number"/>
    <w:uiPriority w:val="99"/>
    <w:rsid w:val="00066EC4"/>
    <w:rPr>
      <w:rFonts w:cs="Times New Roman"/>
    </w:rPr>
  </w:style>
  <w:style w:type="table" w:customStyle="1" w:styleId="Stile12">
    <w:name w:val="Stile12"/>
    <w:basedOn w:val="TabellaWeb2"/>
    <w:uiPriority w:val="99"/>
    <w:rsid w:val="00B845E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34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24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Ezio Guerci</dc:creator>
  <cp:keywords/>
  <dc:description/>
  <cp:lastModifiedBy>segretario</cp:lastModifiedBy>
  <cp:revision>31</cp:revision>
  <cp:lastPrinted>2014-01-07T14:33:00Z</cp:lastPrinted>
  <dcterms:created xsi:type="dcterms:W3CDTF">2014-01-07T11:51:00Z</dcterms:created>
  <dcterms:modified xsi:type="dcterms:W3CDTF">2017-02-25T09:48:00Z</dcterms:modified>
</cp:coreProperties>
</file>